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91" w:type="dxa"/>
        <w:tblLook w:val="04A0" w:firstRow="1" w:lastRow="0" w:firstColumn="1" w:lastColumn="0" w:noHBand="0" w:noVBand="1"/>
      </w:tblPr>
      <w:tblGrid>
        <w:gridCol w:w="1522"/>
        <w:gridCol w:w="1523"/>
        <w:gridCol w:w="1523"/>
        <w:gridCol w:w="1523"/>
      </w:tblGrid>
      <w:tr w:rsidR="00C8624E" w14:paraId="66582347" w14:textId="74DBEA58" w:rsidTr="00C8624E">
        <w:trPr>
          <w:cantSplit/>
          <w:trHeight w:val="2000"/>
        </w:trPr>
        <w:tc>
          <w:tcPr>
            <w:tcW w:w="1522" w:type="dxa"/>
            <w:shd w:val="clear" w:color="auto" w:fill="FFFF00"/>
            <w:textDirection w:val="tbRl"/>
          </w:tcPr>
          <w:p w14:paraId="57874B85" w14:textId="6FE9FDFC" w:rsidR="00C8624E" w:rsidRDefault="00C8624E" w:rsidP="00C8624E">
            <w:pPr>
              <w:ind w:left="113" w:right="113"/>
            </w:pPr>
            <w:r>
              <w:t>Introduction</w:t>
            </w:r>
          </w:p>
        </w:tc>
        <w:tc>
          <w:tcPr>
            <w:tcW w:w="1523" w:type="dxa"/>
            <w:shd w:val="clear" w:color="auto" w:fill="FFFF00"/>
            <w:textDirection w:val="btLr"/>
          </w:tcPr>
          <w:p w14:paraId="7C1B2A29" w14:textId="0B1507DD" w:rsidR="00C8624E" w:rsidRDefault="00C8624E" w:rsidP="00C8624E">
            <w:pPr>
              <w:ind w:left="113" w:right="113"/>
              <w:jc w:val="right"/>
            </w:pPr>
            <w:r>
              <w:t>Introduction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7C691504" w14:textId="0133F1AC" w:rsidR="00C8624E" w:rsidRDefault="00C8624E" w:rsidP="00C8624E">
            <w:pPr>
              <w:ind w:left="113" w:right="113"/>
            </w:pPr>
            <w:r>
              <w:t>Document outline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07152614" w14:textId="1FE700E6" w:rsidR="00C8624E" w:rsidRDefault="00C8624E" w:rsidP="00C8624E">
            <w:pPr>
              <w:ind w:left="113" w:right="113"/>
              <w:jc w:val="right"/>
            </w:pPr>
            <w:r>
              <w:t>Document outline</w:t>
            </w:r>
          </w:p>
        </w:tc>
      </w:tr>
      <w:tr w:rsidR="00C8624E" w14:paraId="65764B82" w14:textId="66876193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5E4E3920" w14:textId="6A0CEC14" w:rsidR="00C8624E" w:rsidRDefault="000C53C8" w:rsidP="00C8624E">
            <w:pPr>
              <w:ind w:left="113" w:right="113"/>
            </w:pPr>
            <w:r>
              <w:t xml:space="preserve">  </w:t>
            </w:r>
            <w:r w:rsidR="00C8624E">
              <w:t>Principles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1D96DEBB" w14:textId="40DB6441" w:rsidR="00C8624E" w:rsidRDefault="00C8624E" w:rsidP="00C8624E">
            <w:pPr>
              <w:ind w:left="113" w:right="113"/>
              <w:jc w:val="right"/>
            </w:pPr>
            <w:r>
              <w:t>Principles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79F274C3" w14:textId="27933010" w:rsidR="00C8624E" w:rsidRDefault="00C8624E" w:rsidP="00C8624E">
            <w:pPr>
              <w:ind w:left="113" w:right="113"/>
            </w:pPr>
            <w:r>
              <w:t>Common Techniques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4A791020" w14:textId="7C1A3358" w:rsidR="00C8624E" w:rsidRDefault="00C8624E" w:rsidP="00C8624E">
            <w:pPr>
              <w:ind w:left="113" w:right="113"/>
              <w:jc w:val="right"/>
            </w:pPr>
            <w:r>
              <w:t>Common Techniques</w:t>
            </w:r>
          </w:p>
        </w:tc>
      </w:tr>
      <w:tr w:rsidR="00C8624E" w14:paraId="68C3BF42" w14:textId="56DAD2A8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063B9F02" w14:textId="0247279C" w:rsidR="00C8624E" w:rsidRDefault="00C8624E" w:rsidP="00C8624E">
            <w:pPr>
              <w:ind w:left="113" w:right="113"/>
            </w:pPr>
            <w:r>
              <w:t>Approach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465B926D" w14:textId="3BA1E994" w:rsidR="00C8624E" w:rsidRDefault="00C8624E" w:rsidP="00C8624E">
            <w:pPr>
              <w:ind w:left="113" w:right="113"/>
              <w:jc w:val="right"/>
            </w:pPr>
            <w:r>
              <w:t>Approach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384FCEF8" w14:textId="3D0CB4E7" w:rsidR="00C8624E" w:rsidRDefault="00C8624E" w:rsidP="00C8624E">
            <w:pPr>
              <w:ind w:left="113" w:right="113"/>
            </w:pPr>
            <w:r>
              <w:t>Health check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5BC306CB" w14:textId="1430B53A" w:rsidR="00C8624E" w:rsidRDefault="00C8624E" w:rsidP="00C8624E">
            <w:pPr>
              <w:ind w:left="113" w:right="113"/>
              <w:jc w:val="right"/>
            </w:pPr>
            <w:r>
              <w:t>Health check</w:t>
            </w:r>
          </w:p>
        </w:tc>
      </w:tr>
      <w:tr w:rsidR="00C8624E" w14:paraId="2220AD16" w14:textId="57C73147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388D2589" w14:textId="094BA4D4" w:rsidR="00C8624E" w:rsidRDefault="00C8624E" w:rsidP="00C8624E">
            <w:pPr>
              <w:ind w:left="113" w:right="113"/>
            </w:pPr>
            <w:r>
              <w:t>Process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0EE8C04E" w14:textId="4D8AB60C" w:rsidR="00C8624E" w:rsidRDefault="00C8624E" w:rsidP="00C8624E">
            <w:pPr>
              <w:ind w:left="113" w:right="113"/>
              <w:jc w:val="right"/>
            </w:pPr>
            <w:r>
              <w:t>Process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19E5DB74" w14:textId="7EDCE8F7" w:rsidR="00C8624E" w:rsidRDefault="00C8624E" w:rsidP="00C8624E">
            <w:pPr>
              <w:ind w:left="113" w:right="113"/>
            </w:pPr>
            <w:r>
              <w:t>Maturity model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6A75B2D5" w14:textId="2BA52818" w:rsidR="00C8624E" w:rsidRDefault="00C8624E" w:rsidP="00C8624E">
            <w:pPr>
              <w:ind w:left="113" w:right="113"/>
              <w:jc w:val="right"/>
            </w:pPr>
            <w:r>
              <w:t>Maturity model</w:t>
            </w:r>
          </w:p>
        </w:tc>
      </w:tr>
      <w:tr w:rsidR="00C8624E" w14:paraId="0C55499A" w14:textId="4BF22E97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5A9CE475" w14:textId="3AA45CB5" w:rsidR="00C8624E" w:rsidRDefault="00C8624E" w:rsidP="00C8624E">
            <w:pPr>
              <w:ind w:left="113" w:right="113"/>
            </w:pPr>
            <w:r>
              <w:t>Embedding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5C91D039" w14:textId="5D76B7AF" w:rsidR="00C8624E" w:rsidRDefault="00C8624E" w:rsidP="00C8624E">
            <w:pPr>
              <w:ind w:left="113" w:right="113"/>
              <w:jc w:val="right"/>
            </w:pPr>
            <w:r>
              <w:t>Embedding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4FF53093" w14:textId="30C8787A" w:rsidR="00C8624E" w:rsidRDefault="00C8624E" w:rsidP="00C8624E">
            <w:pPr>
              <w:ind w:left="113" w:right="113"/>
            </w:pPr>
            <w:r>
              <w:t>Risk Specialisms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692D0038" w14:textId="79FFF922" w:rsidR="00C8624E" w:rsidRDefault="00C8624E" w:rsidP="00C8624E">
            <w:pPr>
              <w:ind w:left="113" w:right="113"/>
              <w:jc w:val="right"/>
            </w:pPr>
            <w:r>
              <w:t>Risk Specialisms</w:t>
            </w:r>
          </w:p>
        </w:tc>
      </w:tr>
      <w:tr w:rsidR="00C8624E" w14:paraId="49024D21" w14:textId="263C49F1" w:rsidTr="00C8624E">
        <w:trPr>
          <w:cantSplit/>
          <w:trHeight w:val="2000"/>
        </w:trPr>
        <w:tc>
          <w:tcPr>
            <w:tcW w:w="1522" w:type="dxa"/>
            <w:shd w:val="clear" w:color="auto" w:fill="92D050"/>
            <w:textDirection w:val="tbRl"/>
          </w:tcPr>
          <w:p w14:paraId="3EF55663" w14:textId="095FEEE4" w:rsidR="00C8624E" w:rsidRDefault="00C8624E" w:rsidP="00C8624E">
            <w:pPr>
              <w:ind w:left="113" w:right="113"/>
            </w:pPr>
            <w:r>
              <w:t>Perspectives</w:t>
            </w:r>
          </w:p>
        </w:tc>
        <w:tc>
          <w:tcPr>
            <w:tcW w:w="1523" w:type="dxa"/>
            <w:shd w:val="clear" w:color="auto" w:fill="92D050"/>
            <w:textDirection w:val="btLr"/>
          </w:tcPr>
          <w:p w14:paraId="279424F3" w14:textId="2E719FCC" w:rsidR="00C8624E" w:rsidRDefault="00C8624E" w:rsidP="00C8624E">
            <w:pPr>
              <w:ind w:left="113" w:right="113"/>
              <w:jc w:val="right"/>
            </w:pPr>
            <w:r>
              <w:t>Perspectives</w:t>
            </w:r>
          </w:p>
        </w:tc>
        <w:tc>
          <w:tcPr>
            <w:tcW w:w="1523" w:type="dxa"/>
            <w:shd w:val="clear" w:color="auto" w:fill="00B0F0"/>
            <w:textDirection w:val="tbRl"/>
          </w:tcPr>
          <w:p w14:paraId="64FFEBB4" w14:textId="6D7BC95A" w:rsidR="00C8624E" w:rsidRDefault="00C8624E" w:rsidP="00C8624E">
            <w:pPr>
              <w:ind w:left="113" w:right="113"/>
            </w:pPr>
            <w:r>
              <w:t>Glossary</w:t>
            </w:r>
          </w:p>
        </w:tc>
        <w:tc>
          <w:tcPr>
            <w:tcW w:w="1523" w:type="dxa"/>
            <w:shd w:val="clear" w:color="auto" w:fill="00B0F0"/>
            <w:textDirection w:val="btLr"/>
          </w:tcPr>
          <w:p w14:paraId="6A42757B" w14:textId="6C057413" w:rsidR="00C8624E" w:rsidRDefault="00C8624E" w:rsidP="00C8624E">
            <w:pPr>
              <w:ind w:left="113" w:right="113"/>
              <w:jc w:val="right"/>
            </w:pPr>
            <w:r>
              <w:t>Glossary</w:t>
            </w:r>
          </w:p>
        </w:tc>
      </w:tr>
    </w:tbl>
    <w:p w14:paraId="64FCDDE9" w14:textId="74BF042C" w:rsidR="0038248F" w:rsidRDefault="000C53C8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3E515" wp14:editId="167391CE">
                <wp:simplePos x="0" y="0"/>
                <wp:positionH relativeFrom="column">
                  <wp:posOffset>3994150</wp:posOffset>
                </wp:positionH>
                <wp:positionV relativeFrom="paragraph">
                  <wp:posOffset>-7664450</wp:posOffset>
                </wp:positionV>
                <wp:extent cx="1504950" cy="1752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80D54" w14:textId="77777777" w:rsidR="000C53C8" w:rsidRDefault="000C53C8" w:rsidP="000C53C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Yellow – Introduction</w:t>
                            </w:r>
                          </w:p>
                          <w:p w14:paraId="17C419EC" w14:textId="77777777" w:rsidR="000C53C8" w:rsidRDefault="000C53C8" w:rsidP="000C53C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Green – Chapters</w:t>
                            </w:r>
                          </w:p>
                          <w:p w14:paraId="5923345F" w14:textId="77777777" w:rsidR="000C53C8" w:rsidRDefault="000C53C8" w:rsidP="000C53C8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Blue - Appendices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3E5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5pt;margin-top:-603.5pt;width:118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" fillcolor="white [3201]" strokeweight=".5pt">
                <v:textbox>
                  <w:txbxContent>
                    <w:p w14:paraId="4A180D54" w14:textId="77777777" w:rsidR="000C53C8" w:rsidRDefault="000C53C8" w:rsidP="000C53C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Yellow – Introduction</w:t>
                      </w:r>
                    </w:p>
                    <w:p w14:paraId="17C419EC" w14:textId="77777777" w:rsidR="000C53C8" w:rsidRDefault="000C53C8" w:rsidP="000C53C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Green – Chapters</w:t>
                      </w:r>
                    </w:p>
                    <w:p w14:paraId="5923345F" w14:textId="77777777" w:rsidR="000C53C8" w:rsidRDefault="000C53C8" w:rsidP="000C53C8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Blue - Appendices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6CED" w14:textId="77777777" w:rsidR="00045DC1" w:rsidRDefault="00045DC1" w:rsidP="000C53C8">
      <w:pPr>
        <w:spacing w:after="0" w:line="240" w:lineRule="auto"/>
      </w:pPr>
      <w:r>
        <w:separator/>
      </w:r>
    </w:p>
  </w:endnote>
  <w:endnote w:type="continuationSeparator" w:id="0">
    <w:p w14:paraId="76772800" w14:textId="77777777" w:rsidR="00045DC1" w:rsidRDefault="00045DC1" w:rsidP="000C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A678" w14:textId="77777777" w:rsidR="000C53C8" w:rsidRDefault="000C5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577D" w14:textId="77777777" w:rsidR="000C53C8" w:rsidRDefault="000C5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5F07" w14:textId="77777777" w:rsidR="000C53C8" w:rsidRDefault="000C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7D4D" w14:textId="77777777" w:rsidR="00045DC1" w:rsidRDefault="00045DC1" w:rsidP="000C53C8">
      <w:pPr>
        <w:spacing w:after="0" w:line="240" w:lineRule="auto"/>
      </w:pPr>
      <w:r>
        <w:separator/>
      </w:r>
    </w:p>
  </w:footnote>
  <w:footnote w:type="continuationSeparator" w:id="0">
    <w:p w14:paraId="3F89EBC9" w14:textId="77777777" w:rsidR="00045DC1" w:rsidRDefault="00045DC1" w:rsidP="000C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2456" w14:textId="77777777" w:rsidR="000C53C8" w:rsidRDefault="000C5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4A27" w14:textId="0556E18B" w:rsidR="000C53C8" w:rsidRPr="000C53C8" w:rsidRDefault="000C53C8" w:rsidP="000C53C8">
    <w:pPr>
      <w:pStyle w:val="Header"/>
      <w:jc w:val="center"/>
      <w:rPr>
        <w:lang w:val="de-DE"/>
      </w:rPr>
    </w:pPr>
    <w:r>
      <w:rPr>
        <w:lang w:val="de-DE"/>
      </w:rPr>
      <w:t>M_o_R tabs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DF03" w14:textId="77777777" w:rsidR="000C53C8" w:rsidRDefault="000C5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0A"/>
    <w:rsid w:val="00045DC1"/>
    <w:rsid w:val="000C53C8"/>
    <w:rsid w:val="001A287F"/>
    <w:rsid w:val="0038248F"/>
    <w:rsid w:val="00C8624E"/>
    <w:rsid w:val="00E42CDC"/>
    <w:rsid w:val="00E61900"/>
    <w:rsid w:val="00E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20DD"/>
  <w15:chartTrackingRefBased/>
  <w15:docId w15:val="{1592AB32-3D7E-49A7-9985-BB98A83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3C8"/>
  </w:style>
  <w:style w:type="paragraph" w:styleId="Footer">
    <w:name w:val="footer"/>
    <w:basedOn w:val="Normal"/>
    <w:link w:val="FooterChar"/>
    <w:uiPriority w:val="99"/>
    <w:unhideWhenUsed/>
    <w:rsid w:val="000C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Edward Pinnington</dc:creator>
  <cp:keywords/>
  <dc:description/>
  <cp:lastModifiedBy>Robert Edward Pinnington</cp:lastModifiedBy>
  <cp:revision>3</cp:revision>
  <cp:lastPrinted>2021-12-08T18:41:00Z</cp:lastPrinted>
  <dcterms:created xsi:type="dcterms:W3CDTF">2021-12-08T18:13:00Z</dcterms:created>
  <dcterms:modified xsi:type="dcterms:W3CDTF">2021-12-09T14:28:00Z</dcterms:modified>
</cp:coreProperties>
</file>